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Leicestershire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Leicestershire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Leicestershire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Leicestershire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Leicestershire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Leicestershire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Mid Leicestershire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Leicestershire is estimated to be </w:t>
      </w:r>
      <w:r w:rsidRPr="00773DF7">
        <w:rPr>
          <w:rFonts w:ascii="Libre Franklin Light" w:eastAsia="Times New Roman" w:hAnsi="Libre Franklin Light" w:cs="Calibri Light"/>
          <w:b/>
          <w:bCs/>
          <w:color w:val="C45911" w:themeColor="accent2" w:themeShade="BF"/>
        </w:rPr>
        <w:t xml:space="preserve">£1,290,927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Leicestershire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Leicestershire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Leicestershire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Leicestershire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Leiceste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Leicestershire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Leiceste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Leicestershire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Leicestershire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Leiceste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Leicestershire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Leicestershire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Leicestershire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Leicestershire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Leicestershire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Leicestershire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£1,290,927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Leicestershire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£434,852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£31,151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£16,062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£779,074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£1,290,927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Leicestershire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Leicestershire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Leicestershire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Leicestershire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Leicestershire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Leicestershire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Leicestershire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Leicestershire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Leicestershire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Leicestershire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Leicestershire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Leicestershire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48E346E-FC7F-48AD-A071-2EC2CEA9440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